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auto"/>
        <w:spacing w:before="0" w:beforeAutospacing="0" w:after="120" w:afterAutospacing="0" w:line="480" w:lineRule="atLeast"/>
        <w:ind w:right="0"/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大同市新荣区人民政府</w:t>
      </w:r>
    </w:p>
    <w:p>
      <w:pPr>
        <w:spacing w:beforeLines="0"/>
        <w:jc w:val="center"/>
        <w:rPr>
          <w:rFonts w:hint="eastAsia" w:ascii="黑体" w:hAnsi="黑体" w:eastAsia="黑体" w:cs="黑体"/>
          <w:b/>
          <w:bCs/>
          <w:spacing w:val="-11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pacing w:val="-11"/>
          <w:sz w:val="44"/>
          <w:szCs w:val="44"/>
        </w:rPr>
        <w:t>城区地下管网改造提升项目</w:t>
      </w:r>
      <w:r>
        <w:rPr>
          <w:rFonts w:hint="eastAsia" w:ascii="黑体" w:hAnsi="黑体" w:eastAsia="黑体" w:cs="黑体"/>
          <w:b/>
          <w:bCs/>
          <w:spacing w:val="-11"/>
          <w:sz w:val="44"/>
          <w:szCs w:val="44"/>
          <w:lang w:eastAsia="zh-CN"/>
        </w:rPr>
        <w:t>建设工程房屋</w:t>
      </w:r>
      <w:r>
        <w:rPr>
          <w:rFonts w:hint="eastAsia" w:ascii="黑体" w:hAnsi="黑体" w:eastAsia="黑体" w:cs="黑体"/>
          <w:b/>
          <w:bCs/>
          <w:spacing w:val="-11"/>
          <w:sz w:val="44"/>
          <w:szCs w:val="44"/>
        </w:rPr>
        <w:t>征收</w:t>
      </w:r>
      <w:r>
        <w:rPr>
          <w:rFonts w:hint="eastAsia" w:ascii="黑体" w:hAnsi="黑体" w:eastAsia="黑体" w:cs="黑体"/>
          <w:b/>
          <w:bCs/>
          <w:spacing w:val="-11"/>
          <w:sz w:val="44"/>
          <w:szCs w:val="44"/>
          <w:lang w:eastAsia="zh-CN"/>
        </w:rPr>
        <w:t>与</w:t>
      </w:r>
      <w:r>
        <w:rPr>
          <w:rFonts w:hint="eastAsia" w:ascii="黑体" w:hAnsi="黑体" w:eastAsia="黑体" w:cs="黑体"/>
          <w:b/>
          <w:bCs/>
          <w:spacing w:val="-11"/>
          <w:sz w:val="44"/>
          <w:szCs w:val="44"/>
        </w:rPr>
        <w:t>补偿方案</w:t>
      </w:r>
    </w:p>
    <w:p>
      <w:pPr>
        <w:spacing w:beforeLine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为保障市政基础设施建设顺利推进，优化城市功能布局改善公共服务条件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根据《国有土地上房屋征收与补偿条例》（国务院令第59号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《大同市国有土地上房屋征收与补偿的若干规定》（同政发【2011】43号）、《大同市国有土地上房屋征收与补偿的若干规定的补充规定》（同政发【2015】105号）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需征收有关居民的地上建筑物及附着物、附属物，特制定如下征收补偿方案。             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bookmarkStart w:id="0" w:name="auto_fouce_1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本次征收土地用于大同市新荣区城区地下管网改造提升项目建设，包括改造及新建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各类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管线、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硬化路面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及附属设施等工程，属于城市公共事业用地，符合公共利益需要，符合新荣区国民经济和社会发展规划、土地利用总体规划及城市总体规划要求。</w:t>
      </w:r>
      <w:bookmarkEnd w:id="0"/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公示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范围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征收土地位于大同市新荣区新荣镇，具体四至范围为:东至新荣区第三小学西墙，南至育才巷，西至三小西墙西50米，北至府西街。(详见征收土地红线图)。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pict>
          <v:shape id="图片 2" o:spid="_x0000_s1027" type="#_x0000_t75" style="height:587.2pt;width:414.95pt;rotation:0f;" o:ole="f" fillcolor="#FFFFFF" filled="f" o:preferrelative="t" stroked="f" coordorigin="0,0" coordsize="21600,21600">
            <v:fill on="f" color2="#FFFFFF" focus="0%"/>
            <v:imagedata gain="65536f" blacklevel="0f" gamma="0" o:title="微信图片_20260831174240" r:id="rId7"/>
            <o:lock v:ext="edit" position="f" selection="f" grouping="f" rotation="f" cropping="f" text="f" aspectratio="t"/>
            <w10:wrap type="none"/>
            <w10:anchorlock/>
          </v:shape>
        </w:pict>
      </w:r>
      <w:bookmarkStart w:id="6" w:name="_GoBack"/>
      <w:bookmarkEnd w:id="6"/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公示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时间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上述范围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征收补偿方案公示时间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:2026年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日至2026年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三、征收补偿方式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bookmarkStart w:id="1" w:name="tip_risk_bookmark_2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被征收人可以选择货币补偿，也可以选择产权调换（就近安置）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，房屋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货币补偿1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00元/㎡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，院落除房屋及地上附着物外按250元/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补偿。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商铺货币补偿第一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层3000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元/㎡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二层1500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元/㎡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院内附属物均给予一次性货币补偿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该价格由评估公司评估确定。 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选择产权调换的，符合安置房屋的原则上“征一补一”以旧换新，并与被征收人计算、结清被征收房屋价值与用于产权调换房屋价值的差价。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征收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面积认定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征收安置面积以征收人、评估公司现场测量为基础，依据房屋手续，按照政府安置政策来确定。</w:t>
      </w:r>
      <w:bookmarkStart w:id="2" w:name="auto_fouce_3"/>
    </w:p>
    <w:bookmarkEnd w:id="2"/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被征收户有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国有土地使用证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或收据及土地使用证等手续内的正房、附属房屋，室内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前沿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净高达到2.2米以上适合居住的永久性房屋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00元/㎡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补偿，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室内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前沿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净高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2.2米按评估价补偿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土地使用证内加盖的院中院等类似情况，由相关部门组成联合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组共同认定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否定的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不予安置，此类房屋依据第三方评估机构出具的评估价给予一次性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适当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货币补偿。 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.在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2026年5月7日</w:t>
      </w:r>
      <w:bookmarkStart w:id="3" w:name="auto_fouce_4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关于大同市新荣区人民政府地下管网改造提升项目房屋征收通告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》</w:t>
      </w:r>
      <w:bookmarkEnd w:id="3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后，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违章建筑物及乱搭乱建的所有建筑物、构筑物一律不予补偿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（以已留存影像资料为准）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被征收户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认定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持有土地手续的被征收户以土地手续为依据。没有证件的被征收户以院落为单位，由联合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组出具意见，确实是通过合法程序取得的，可以认定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被征收户。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同一院落内存在多套房屋的，按实际合法产权主体认定，不得重复补偿。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六、搬家费</w:t>
      </w:r>
    </w:p>
    <w:p>
      <w:pPr>
        <w:spacing w:beforeLine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选择货币补偿的被征收户，可一次性领取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元搬家费。</w:t>
      </w:r>
    </w:p>
    <w:p>
      <w:pPr>
        <w:spacing w:beforeLine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选择房屋安置的被征收户，期房安置的可领取二次搬家费合计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、奖励金</w:t>
      </w:r>
    </w:p>
    <w:p>
      <w:pPr>
        <w:spacing w:beforeLine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选择货币补偿和选择房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安置的被征收户，在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本公示期内（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1个月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），住户自愿、主动签订协议并腾退住房给予资金奖励。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奖励分两个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等次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，前十五天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腾退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奖励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000元，后十五天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腾退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奖励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5000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，过期不予奖励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  <w:bookmarkEnd w:id="1"/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八、住宅安置区、商铺置换区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住宅安置区：区址的回购房，采取“征一补一”等平米置换，超平米按安置区市场价补差价，退平米按1500元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/㎡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退差价。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商铺置换区：得惠小区商铺，采取“征一补一”等平米置换，超平米按已确定的售价补差价,退平米第一层按3000元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/㎡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第二层按1500元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/㎡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退差价。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九、选房顺序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按照房屋验收单时间先后顺序依次排号，先拆先选。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十、房屋征收主体及实施单位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征收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为新荣区人民政府，征收实施单位为新荣镇人民政府。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十一、不予补偿行为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2026年5月7日区政府发布城区地下管网改造提升项目房屋征收通告后，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任何单位和个人不得在上述征收范围内实施下列行为: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新建、扩建、改建房屋及其附属物;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改变房屋和土地用途;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房屋权属分割、过户或者抵押;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房屋装饰装修;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新增市场主体设立登记或者其他社会组织登记;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其他可能导致不当增加补偿费用的行为。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对违反有关规定的上述行为，不予补偿。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十二、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自本《方案》发布之日起，被租售房屋存在租赁、抵押或其它纠纷的，由房屋产权人自行解决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，征收方不承担房屋租赁、抵押及产权纠纷所产生的任何经济和法律责任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保证征收工作如期完成，被征收人要积极配合，按期搬迁。对逾期未搬迁者，经主管部门批准后将按相关规定处理。在征收过程中，对无理取闹、阻挠、干扰征收人员正常工作的，将移送有关部门，依据相关法律规定惩处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十四、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在征收补偿方案确定的签约期限内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2026年11月1日前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达不成补偿协议，或者被征收房屋所有权人不明确的，由新荣区人民政府按照征收补偿方案作出补偿决定，并在房屋征收范围内予以公告。被征收人在法定期限内不申请行政复议或者不提起行政诉讼，依法向人民法院申请强制执行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十五、</w:t>
      </w:r>
      <w:bookmarkStart w:id="4" w:name="auto_fouce_7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被征收人对新荣区人民政府作出的房屋征收决定或补偿决定不服的，可以依法申请行政复议，也可以依法提起行政诉讼。</w:t>
      </w:r>
      <w:bookmarkEnd w:id="4"/>
    </w:p>
    <w:p>
      <w:pPr>
        <w:spacing w:beforeLines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十六、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被征收人腾空房屋后，须保持原房屋结构完整，设施齐全，不得损坏和拆除门、窗、暖气、管网线及各类用表等设施，违者赔偿。</w:t>
      </w:r>
    </w:p>
    <w:p>
      <w:pPr>
        <w:spacing w:beforeLines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十七、</w:t>
      </w:r>
      <w:bookmarkStart w:id="5" w:name="auto_fouce_8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本补偿方案解释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权为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新荣区人民政府。</w:t>
      </w:r>
      <w:bookmarkEnd w:id="5"/>
    </w:p>
    <w:p>
      <w:pPr>
        <w:widowControl w:val="0"/>
        <w:wordWrap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>
      <w:pPr>
        <w:spacing w:beforeLines="0"/>
        <w:ind w:firstLine="640" w:firstLineChars="20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大同市新荣区人民政府</w:t>
      </w:r>
    </w:p>
    <w:p>
      <w:pPr>
        <w:spacing w:beforeLines="0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2026年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p>
      <w:pPr>
        <w:widowControl w:val="0"/>
        <w:wordWrap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spacing w:beforeLines="0"/>
      <w:rPr>
        <w:rFonts w:hint="default"/>
        <w:sz w:val="18"/>
        <w:szCs w:val="24"/>
      </w:rPr>
    </w:pPr>
    <w:r>
      <w:rPr>
        <w:rFonts w:hint="default" w:ascii="Calibri" w:hAnsi="Calibri" w:eastAsia="宋体" w:cs="Times New Roman"/>
        <w:kern w:val="2"/>
        <w:sz w:val="18"/>
        <w:szCs w:val="24"/>
        <w:lang w:val="en-US" w:eastAsia="zh-CN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5"/>
                  <w:spacing w:beforeLines="0"/>
                  <w:rPr>
                    <w:rFonts w:hint="eastAsia"/>
                    <w:sz w:val="18"/>
                    <w:szCs w:val="24"/>
                  </w:rPr>
                </w:pPr>
                <w:r>
                  <w:rPr>
                    <w:rFonts w:hint="eastAsia"/>
                    <w:sz w:val="18"/>
                    <w:szCs w:val="24"/>
                  </w:rPr>
                  <w:fldChar w:fldCharType="begin"/>
                </w:r>
                <w:r>
                  <w:rPr>
                    <w:rFonts w:hint="eastAsia"/>
                    <w:sz w:val="18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szCs w:val="24"/>
                  </w:rPr>
                  <w:fldChar w:fldCharType="separate"/>
                </w:r>
                <w:r>
                  <w:rPr>
                    <w:rFonts w:hint="eastAsia"/>
                    <w:sz w:val="18"/>
                    <w:szCs w:val="24"/>
                  </w:rPr>
                  <w:t>1</w:t>
                </w:r>
                <w:r>
                  <w:rPr>
                    <w:rFonts w:hint="eastAsia"/>
                    <w:sz w:val="18"/>
                    <w:szCs w:val="24"/>
                  </w:rP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spacing w:beforeLines="0"/>
      <w:rPr>
        <w:rFonts w:hint="default"/>
        <w:sz w:val="18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Arial" w:hAnsi="Arial" w:eastAsia="宋体" w:cs="Times New Roman"/>
      <w:b w:val="0"/>
      <w:kern w:val="44"/>
      <w:sz w:val="36"/>
      <w:szCs w:val="36"/>
    </w:rPr>
  </w:style>
  <w:style w:type="character" w:default="1" w:styleId="9">
    <w:name w:val="Default Paragraph Font"/>
    <w:semiHidden/>
    <w:qFormat/>
    <w:uiPriority w:val="0"/>
  </w:style>
  <w:style w:type="paragraph" w:styleId="3">
    <w:name w:val="Title"/>
    <w:basedOn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endnote text"/>
    <w:basedOn w:val="1"/>
    <w:qFormat/>
    <w:uiPriority w:val="0"/>
    <w:pPr>
      <w:snapToGrid w:val="0"/>
      <w:jc w:val="left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6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</w:pPr>
    <w:rPr>
      <w:rFonts w:hint="default"/>
      <w:sz w:val="18"/>
      <w:szCs w:val="24"/>
    </w:rPr>
  </w:style>
  <w:style w:type="paragraph" w:styleId="7">
    <w:name w:val="footnote text"/>
    <w:basedOn w:val="4"/>
    <w:link w:val="11"/>
    <w:qFormat/>
    <w:uiPriority w:val="0"/>
    <w:pPr>
      <w:snapToGrid w:val="0"/>
    </w:pPr>
    <w:rPr>
      <w:rFonts w:ascii="宋体" w:hAnsi="宋体" w:eastAsia="宋体" w:cs="宋体"/>
      <w:sz w:val="18"/>
      <w:szCs w:val="18"/>
      <w:vertAlign w:val="superscript"/>
    </w:r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default"/>
      <w:kern w:val="0"/>
      <w:sz w:val="24"/>
      <w:szCs w:val="24"/>
      <w:lang/>
    </w:rPr>
  </w:style>
  <w:style w:type="character" w:styleId="10">
    <w:name w:val="footnote reference"/>
    <w:basedOn w:val="9"/>
    <w:qFormat/>
    <w:uiPriority w:val="0"/>
    <w:rPr>
      <w:rFonts w:ascii="Times New Roman" w:hAnsi="Times New Roman" w:eastAsia="宋体"/>
      <w:sz w:val="18"/>
      <w:vertAlign w:val="superscript"/>
    </w:rPr>
  </w:style>
  <w:style w:type="character" w:customStyle="1" w:styleId="11">
    <w:name w:val="脚注文本 字符"/>
    <w:link w:val="7"/>
    <w:qFormat/>
    <w:uiPriority w:val="0"/>
    <w:rPr>
      <w:rFonts w:ascii="宋体" w:hAnsi="宋体" w:eastAsia="宋体" w:cs="宋体"/>
      <w:sz w:val="18"/>
      <w:szCs w:val="18"/>
      <w:vertAlign w:val="superscript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image" Target="media/image1.jpeg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1986</Words>
  <Characters>2070</Characters>
  <Lines>0</Lines>
  <Paragraphs>0</Paragraphs>
  <TotalTime>0</TotalTime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2024-03-25T12:49:00Z</dcterms:created>
  <dc:creator>xiao</dc:creator>
  <cp:lastModifiedBy>Administrator</cp:lastModifiedBy>
  <cp:lastPrinted>2026-08-31T09:10:00Z</cp:lastPrinted>
  <dcterms:modified xsi:type="dcterms:W3CDTF">2026-08-31T09:43:15Z</dcterms:modified>
  <dc:title>大同市新荣区人民政府                                                                                                                                                                                                                                                   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  <property fmtid="{D5CDD505-2E9C-101B-9397-08002B2CF9AE}" pid="3" name="ICV">
    <vt:lpwstr>4228C6947DD349C6B69C7F4629D362C7_13</vt:lpwstr>
  </property>
  <property fmtid="{D5CDD505-2E9C-101B-9397-08002B2CF9AE}" pid="4" name="KSOTemplateDocerSaveRecord">
    <vt:lpwstr>eyJoZGlkIjoiNWQ1NTA0M2QzZmEzMGUyODZkZjQ4MjYwYWI4M2ZjOWEiLCJ1c2VySWQiOiIxODgwMDcyNTUwIn0=</vt:lpwstr>
  </property>
</Properties>
</file>