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61" w:beforeLines="100" w:line="360" w:lineRule="auto"/>
        <w:ind w:left="0" w:leftChars="0" w:firstLine="0" w:firstLineChars="0"/>
        <w:textAlignment w:val="auto"/>
        <w:rPr>
          <w:rFonts w:hint="default"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eastAsia="zh-CN"/>
        </w:rPr>
        <w:t>附件</w:t>
      </w:r>
      <w:r>
        <w:rPr>
          <w:rFonts w:hint="eastAsia" w:ascii="宋体" w:hAnsi="宋体" w:eastAsia="宋体" w:cs="宋体"/>
          <w:b/>
          <w:bCs/>
          <w:color w:val="000000"/>
          <w:sz w:val="36"/>
          <w:szCs w:val="36"/>
          <w:lang w:val="en-US" w:eastAsia="zh-CN"/>
        </w:rPr>
        <w:t>9：</w:t>
      </w:r>
      <w:bookmarkStart w:id="0" w:name="_GoBack"/>
      <w:bookmarkEnd w:id="0"/>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ascii="宋体" w:hAnsi="宋体" w:eastAsia="宋体" w:cs="宋体"/>
          <w:b/>
          <w:bCs/>
          <w:color w:val="000000"/>
        </w:rPr>
      </w:pPr>
      <w:r>
        <w:rPr>
          <w:rFonts w:hint="eastAsia" w:ascii="宋体" w:hAnsi="宋体" w:eastAsia="宋体" w:cs="宋体"/>
          <w:b/>
          <w:bCs/>
          <w:color w:val="000000"/>
          <w:sz w:val="36"/>
          <w:szCs w:val="36"/>
        </w:rPr>
        <w:t>新荣区职业技术学校</w:t>
      </w:r>
      <w:r>
        <w:rPr>
          <w:rFonts w:ascii="宋体" w:hAnsi="宋体" w:eastAsia="宋体" w:cs="宋体"/>
          <w:b/>
          <w:bCs/>
          <w:color w:val="000000"/>
          <w:sz w:val="36"/>
          <w:szCs w:val="36"/>
        </w:rPr>
        <w:t>园林技术专业人才培养方案</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一、专业分析</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hint="eastAsia" w:ascii="宋体" w:hAnsi="宋体" w:eastAsia="宋体" w:cs="宋体"/>
          <w:color w:val="000000"/>
        </w:rPr>
      </w:pPr>
      <w:r>
        <w:rPr>
          <w:rFonts w:hint="eastAsia" w:ascii="宋体" w:hAnsi="宋体" w:eastAsia="宋体" w:cs="宋体"/>
          <w:color w:val="000000"/>
        </w:rPr>
        <w:t>1.专业代码</w:t>
      </w:r>
      <w:r>
        <w:rPr>
          <w:rFonts w:ascii="宋体" w:hAnsi="宋体" w:eastAsia="宋体" w:cs="宋体"/>
          <w:color w:val="000000"/>
        </w:rPr>
        <w:t>：</w:t>
      </w:r>
      <w:r>
        <w:rPr>
          <w:rFonts w:hint="eastAsia" w:ascii="宋体" w:hAnsi="宋体" w:eastAsia="宋体" w:cs="宋体"/>
          <w:color w:val="000000"/>
        </w:rPr>
        <w:t>610202</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学制</w:t>
      </w:r>
      <w:r>
        <w:rPr>
          <w:rFonts w:hint="eastAsia" w:ascii="宋体" w:hAnsi="宋体" w:eastAsia="宋体" w:cs="宋体"/>
          <w:color w:val="000000"/>
          <w:lang w:val="en-US" w:eastAsia="zh-CN"/>
        </w:rPr>
        <w:t>:一</w:t>
      </w:r>
      <w:r>
        <w:rPr>
          <w:rFonts w:hint="eastAsia" w:ascii="宋体" w:hAnsi="宋体" w:eastAsia="宋体" w:cs="宋体"/>
          <w:color w:val="000000"/>
        </w:rPr>
        <w:t>年</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3.</w:t>
      </w:r>
      <w:r>
        <w:rPr>
          <w:rFonts w:hint="eastAsia" w:ascii="宋体" w:hAnsi="宋体" w:eastAsia="宋体" w:cs="宋体"/>
          <w:color w:val="000000"/>
        </w:rPr>
        <w:t>招生对象</w:t>
      </w:r>
      <w:r>
        <w:rPr>
          <w:rFonts w:hint="eastAsia" w:ascii="宋体" w:hAnsi="宋体" w:eastAsia="宋体" w:cs="宋体"/>
          <w:color w:val="000000"/>
          <w:lang w:val="en-US" w:eastAsia="zh-CN"/>
        </w:rPr>
        <w:t>:</w:t>
      </w:r>
      <w:r>
        <w:rPr>
          <w:rFonts w:hint="eastAsia" w:ascii="宋体" w:hAnsi="宋体" w:eastAsia="宋体" w:cs="宋体"/>
          <w:color w:val="000000"/>
          <w:lang w:eastAsia="zh-CN"/>
        </w:rPr>
        <w:t>高中毕业生及同等学历学生</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eastAsia="zh-CN"/>
        </w:rPr>
        <w:t>（一</w:t>
      </w:r>
      <w:r>
        <w:rPr>
          <w:rFonts w:ascii="宋体" w:hAnsi="宋体" w:eastAsia="宋体" w:cs="宋体"/>
          <w:color w:val="000000"/>
        </w:rPr>
        <w:t>）行业背景与社会需求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园林行业是近几年随着中国改革开放的不断深入和经济的快速发展,以及对城市生态环境要求日益提高的社会大背景下，快速形成和壮大的新兴朝阳产业。面对园林行业巨大的人才市场需求和同行竞争，及时调整专业设置，使园林专业人才培养目标适应园林行业的人才需求，就可以抓住这一机遇，使市场需求和竞争优势变成办好园林专业的活力。</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园林专业社会需求不断升温的原因在于，随着我国经济的快速发展和城市化进程的加快，城市居民“绿色”意识在迅速增强。中国现代城镇的快速建设虽已历时二十年，在“量”上已达到一定的规模，就其“质”而言刚刚起步。今天的人们越来越意识到城市生态环境建设的重要性，园林绿化不断被大众和各级政府所重视，有效推动了园林城市、生态城镇、花园式工厂、社区和公司的建设，园林景观设计则贯穿整个建设过程。因此，对城镇环境建设的重视，促使众多园林公司、绿化苗木企业如雨后春笋般涌出，展望未来的趋势——园林专业人才所提供的专业服务将为更多人所需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近年来，大同市政府加大对城市绿化等绿色过程的投入力度，亟需具有专业知识和职业素养的园林技术人才，填补市场与社会人才需求的缺口。但反观大同市园林技术人才的培养现状，开设园林专业的职业院校寥寥无几，尤其缺乏对园林应用型人才的培养，高等院校培养的农林人才则对一线技术岗位缺乏兴，导致出现人才断层。园林公司、绿化苗木企业出现“招工难”的现象，只能雇佣没有任何专业知识的农民工，造成整个园林行业技术工人专业技能欠缺、素质偏低、文化水平偏低的问题。因此，亟需在中职院校开设园林专业，注重园林行业应用型人才的培养，为园林企事业单位输送苗木花卉生产、植物景观设计施工的高素质技能型人才，缓解目前大同市相关人才短缺的严峻形势。</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lang w:eastAsia="zh-CN"/>
        </w:rPr>
        <w:t>二</w:t>
      </w:r>
      <w:r>
        <w:rPr>
          <w:rFonts w:ascii="宋体" w:hAnsi="宋体" w:eastAsia="宋体" w:cs="宋体"/>
          <w:color w:val="000000"/>
        </w:rPr>
        <w:t>）培养目标</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本专业培养园林规划、设计与施工、植物栽培与养护的第一线工作人员。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lang w:eastAsia="zh-CN"/>
        </w:rPr>
        <w:t>三</w:t>
      </w:r>
      <w:r>
        <w:rPr>
          <w:rFonts w:ascii="宋体" w:hAnsi="宋体" w:eastAsia="宋体" w:cs="宋体"/>
          <w:color w:val="000000"/>
        </w:rPr>
        <w:t>）业务工作范围</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本专业毕业生主要面向城乡园林绿化部门、城建部门、花卉生产企业、城市公园和森林公园，从事园林绿化工程规划设计、施工与管理、园林植物及花卉的培育与养护、花卉艺术加工、盆景制作及养护、园林植物病虫害检疫与防治的工作，也可以自主创业或在其他企事业单位从事与本专业有关的技术工作。</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园林专业所覆盖的职业(岗位)群的划分以《中华人民共和国职业分类大典》为依据。经分析研究，园林专业业务范围涉及园艺技术人员、园艺作物生产人员等4个职业小类，涉及花卉园艺工、盆景工、园林植物保护工等12个岗位。</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园林专业覆盖的职业、岗位群一览表</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bl>
      <w:tblPr>
        <w:tblStyle w:val="4"/>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2836"/>
        <w:gridCol w:w="2532"/>
        <w:gridCol w:w="346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职业小类</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职业(括号内为职业代码)</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本专业毕业生可</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从事的工作岗位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园艺技术人员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(2–03–03)</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园艺技术人员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(2–03–03–00)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园艺技术人员</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旅游及公共游览场所服务人员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(4–04–02)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插花员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(4–04–02–04)</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插花员</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盆景工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(4–04–02–05)</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盆景工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假山工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(4–04–02–06)</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假山工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园林植物保护工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(4–04–02–07)</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园林植物保护工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植保工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园艺作物生产人员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(5-01-03)</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花卉园艺工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(5-01-03-02)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育苗工、绿化工、花卉工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草业生产人员</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(5-03-06)</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草坪建植工</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(5-03-06-03)</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草坪检测工、草坪建植工、草坪管护工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二、人才培养规格</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(一) 知识结构与要求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具有必需的文化基础知识。</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2、</w:t>
      </w:r>
      <w:r>
        <w:rPr>
          <w:rFonts w:ascii="宋体" w:hAnsi="宋体" w:eastAsia="宋体" w:cs="宋体"/>
          <w:color w:val="000000"/>
        </w:rPr>
        <w:t>园林植物、景观生态的基本知识。掌握园林植物繁育、栽培与养护的基本知识。</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3、</w:t>
      </w:r>
      <w:r>
        <w:rPr>
          <w:rFonts w:ascii="宋体" w:hAnsi="宋体" w:eastAsia="宋体" w:cs="宋体"/>
          <w:color w:val="000000"/>
        </w:rPr>
        <w:t>掌握园林规划设计的基本知识。</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4、</w:t>
      </w:r>
      <w:r>
        <w:rPr>
          <w:rFonts w:ascii="宋体" w:hAnsi="宋体" w:eastAsia="宋体" w:cs="宋体"/>
          <w:color w:val="000000"/>
        </w:rPr>
        <w:t>掌握园林工程的基本知识。</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(二) 能力结构与要求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掌握园林植物繁育、栽培与养护的基本技能。</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2、</w:t>
      </w:r>
      <w:r>
        <w:rPr>
          <w:rFonts w:ascii="宋体" w:hAnsi="宋体" w:eastAsia="宋体" w:cs="宋体"/>
          <w:color w:val="000000"/>
        </w:rPr>
        <w:t>掌握园林规划设计的基本技能。</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3、</w:t>
      </w:r>
      <w:r>
        <w:rPr>
          <w:rFonts w:ascii="宋体" w:hAnsi="宋体" w:eastAsia="宋体" w:cs="宋体"/>
          <w:color w:val="000000"/>
        </w:rPr>
        <w:t>掌握园林工程施工的基本技能。</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4、</w:t>
      </w:r>
      <w:r>
        <w:rPr>
          <w:rFonts w:ascii="宋体" w:hAnsi="宋体" w:eastAsia="宋体" w:cs="宋体"/>
          <w:color w:val="000000"/>
        </w:rPr>
        <w:t>掌握盆景制作与插花技艺的基本技能。</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hint="eastAsia" w:ascii="宋体" w:hAnsi="宋体" w:eastAsia="宋体" w:cs="宋体"/>
          <w:color w:val="000000"/>
          <w:lang w:val="en-US" w:eastAsia="zh-CN"/>
        </w:rPr>
        <w:t>5、</w:t>
      </w:r>
      <w:r>
        <w:rPr>
          <w:rFonts w:ascii="宋体" w:hAnsi="宋体" w:eastAsia="宋体" w:cs="宋体"/>
          <w:color w:val="000000"/>
        </w:rPr>
        <w:t>具有园林管理的初步能力。</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(三) 技能要求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本专业学生毕业时应取得相应的职业资格证书或技术等级证书，并达到相应的技能水平。</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三、专业课程体系建设思路</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（一）校企共同构建以工作过程为导向的课程体系</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按照园林技术专业岗位及岗位群的要求，遵循学生职业生涯发展规律和学习、认知规律，根据教育部对相关课程的要求，结合学校园林专业实际，课程体系由文化基础课程、必修专业课程和实践课程三部分组成。基础课程着眼于学生的职业生涯和可持续发展，贯穿人才培养的全过程；必修专业课包括专业核心课程和专业支撑课程两部分，其中专业核心课程以工学结合的课程为主；实践课程主要是针对就业领域。</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四、教学组织与运行</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1、采用多媒体教室，通过边学边实践，由浅入深，循序渐进，综合练习的学习步骤，达到学必用，学即用。提高学生的学习兴趣，不定期课堂测验。通过实训加深学生对理论课的理解和提高学生的动手能力。</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2、以学生发展为本，重视培养学生的综合素质和职业能力，以适应快速发展带来的职业岗位变化，为学生的可持续发展奠定基础。为适应不同专业及学生学习需求的多样性，可通过对选学模块教学内容的灵活选择，体现课程内容的选择性和教学要求的差异性。教学过程中，应融人对学生职业道德和职业意识的培养。</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3、坚持“做中学，做中教”，积极探索理论和实践相结合的教学模式，使理论的学习和技能的训练与生产生活中的实际应用相结合。引导学生通过学习过程的体验等，提高学习兴趣，激发学习动力，掌握相应的知识和技能。</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4、应重视现代教育技术与课程教学的整合，充分发挥模拟仿真、计算机、互联网等现代信息技术的优势，提高教学的效率和质量。应充分利用数字化教学资源，创建适应个性化学习需要.强化实践技能培养的教学环境，积极探索信息技术条件下教学模式和教学方法的改革。</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五、人才培养模式</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本专业通过结合青海对园林人才的实际需求，形成了一套行之有效的人才培养模式，可概括为“一二三四、交替提升”模式，即“一个核心、两条主线、三大模块、四个环节，始终坚持工学交替的教学模式，切实提高学生职业能力与素质。”其中一个核心即是以工学结合为核心，构建起理论学习和实践操作两条主线相互交叉的课程体系结构，通过“专业认知”、“ 基本技能”、“综合技能教学与实训”三大课程模块，按照学习、校内实训、校外实训、顶岗实习四个环节，实现了单一课程内乃至于整个课程体系中的工学交替，理论学习与实践相互穿插、融合，有效的提升了学生的职业能力与素质，为学生的就业与职业生涯发展奠定了良好的基础。</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六、顶岗实习基本要求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顶岗实习环节是教学课程体系的重要组成部分，一般安排在第五、六学期，是学生步入职业的开始，制定适合本地实际与顶岗实习有关的各项管理制度。顶岗实习的企业有健全的规定制度及基于职业制度及基于职业标准的员工日常行为规范，有利于学生在实训期间养成遵纪守法的习惯，能真正地领悟到团队合作精神，同时能培养学生解决实际问题的能力。在兼职老师的共同指导下，以实际工作项目为主要实习任务，学生通过在企业真实环境中的实践，积累工作经验，具备职业素质综合能力，达到“准职业人”的标准，从而完成从学校到企业的过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七、资格证书</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1、获得全国计算机等级证书；</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2、通过花卉工、绿化工、植保工等工种的职业技能培训和鉴定，获得两门以上人力资源和社会保障局颁发的中级工技能证书。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八、学生毕业要求</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1、学生必须修满一定的学分方可毕业。</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2、思想品德合格。</w:t>
      </w:r>
    </w:p>
    <w:p>
      <w:pPr>
        <w:keepNext w:val="0"/>
        <w:keepLines w:val="0"/>
        <w:pageBreakBefore w:val="0"/>
        <w:widowControl/>
        <w:kinsoku/>
        <w:wordWrap/>
        <w:overflowPunct/>
        <w:topLinePunct w:val="0"/>
        <w:autoSpaceDE/>
        <w:autoSpaceDN/>
        <w:bidi w:val="0"/>
        <w:adjustRightInd/>
        <w:snapToGrid/>
        <w:spacing w:before="361" w:beforeLines="100" w:line="360" w:lineRule="auto"/>
        <w:ind w:firstLine="480" w:firstLineChars="200"/>
        <w:textAlignment w:val="auto"/>
        <w:rPr>
          <w:rFonts w:ascii="宋体" w:hAnsi="宋体" w:eastAsia="宋体" w:cs="宋体"/>
          <w:color w:val="000000"/>
        </w:rPr>
      </w:pPr>
      <w:r>
        <w:rPr>
          <w:rFonts w:ascii="宋体" w:hAnsi="宋体" w:eastAsia="宋体" w:cs="宋体"/>
          <w:color w:val="000000"/>
        </w:rPr>
        <w:t>3、至少获得双证（毕业证、专业岗位技能等级证及特种行业设备作业人员操作证）。</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eastAsia="zh-CN"/>
        </w:rPr>
        <w:t>九、</w:t>
      </w:r>
      <w:r>
        <w:rPr>
          <w:rFonts w:ascii="宋体" w:hAnsi="宋体" w:eastAsia="宋体" w:cs="宋体"/>
          <w:color w:val="000000"/>
        </w:rPr>
        <w:t>园林技术专业教学计划</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eastAsia="zh-CN"/>
        </w:rPr>
        <w:t>（一）</w:t>
      </w:r>
      <w:r>
        <w:rPr>
          <w:rFonts w:ascii="宋体" w:hAnsi="宋体" w:eastAsia="宋体" w:cs="宋体"/>
          <w:color w:val="000000"/>
        </w:rPr>
        <w:t>实践教学环节的内容及时间安排</w:t>
      </w:r>
    </w:p>
    <w:tbl>
      <w:tblPr>
        <w:tblStyle w:val="4"/>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449"/>
        <w:gridCol w:w="449"/>
        <w:gridCol w:w="4765"/>
        <w:gridCol w:w="449"/>
        <w:gridCol w:w="272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类型</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序号</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实习、技能实训项目名称</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学时</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涵盖专门化</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专</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业</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通</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用</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技</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能</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草本植物、主要园林树种的识别、应用配置</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各专门化均应安排通用技能的实训</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生态因子对植物生长的影响现象观察，土壤识别、土壤施肥技术</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园林风景写生</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测绘园林小品草图并转绘成平、立、剖面图</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5</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小范围平面图测绘、园路测量</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6</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园林植物、苗木、花卉培育、栽植、修剪</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7</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园林植物主要病虫害识别与防治</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8</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中小型园林绿地、景观规划设计</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 ④⑤</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9</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园林小品模拟制作、小型园林工程施工</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①②</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花卉栽培、鲜切花保鲜</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①③⑤</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11</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草本植物、花卉组织培养</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①③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盆景制作</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③④</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13</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插花技术、花艺设计</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xml:space="preserve">2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14</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园林产品营销</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15</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草坪栽植、修剪</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⑤</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bl>
      <w:tblPr>
        <w:tblStyle w:val="4"/>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355"/>
        <w:gridCol w:w="355"/>
        <w:gridCol w:w="6782"/>
        <w:gridCol w:w="440"/>
        <w:gridCol w:w="90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类型</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序号</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实习、技能实训项目名称</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学时</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涵盖专门化</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综</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合</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技</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能</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16</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专业综合实习：</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中小型园林绿地规划设计、施工与管理，园林植物、花卉栽植与养护；应用计算机进行植物造景设计；盆景制作，花卉生产，鲜花保鲜、销售；园林产品营销、草坪经营、管理、养护；花艺设计、小区物业管理等</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240</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 ③④⑤</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ascii="宋体" w:hAnsi="宋体" w:eastAsia="宋体" w:cs="宋体"/>
          <w:color w:val="000000"/>
        </w:rPr>
      </w:pPr>
      <w:r>
        <w:rPr>
          <w:rFonts w:ascii="宋体" w:hAnsi="宋体" w:eastAsia="宋体" w:cs="宋体"/>
          <w:color w:val="000000"/>
        </w:rPr>
        <w:t>注：说明：①为园林专业方向；②为园林规划设计与施工专门化；③为园林花卉专门化；④为植物造景设计与盆景制作专门化；⑤为草坪生产与经营专门化</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p>
      <w:pPr>
        <w:keepNext w:val="0"/>
        <w:keepLines w:val="0"/>
        <w:pageBreakBefore w:val="0"/>
        <w:widowControl/>
        <w:kinsoku/>
        <w:wordWrap/>
        <w:overflowPunct/>
        <w:topLinePunct w:val="0"/>
        <w:autoSpaceDE/>
        <w:autoSpaceDN/>
        <w:bidi w:val="0"/>
        <w:adjustRightInd/>
        <w:snapToGrid/>
        <w:spacing w:before="361" w:beforeLines="100" w:line="360" w:lineRule="auto"/>
        <w:ind w:firstLine="567"/>
        <w:textAlignment w:val="auto"/>
        <w:rPr>
          <w:rFonts w:ascii="宋体" w:hAnsi="宋体" w:eastAsia="宋体" w:cs="宋体"/>
          <w:color w:val="000000"/>
        </w:rPr>
      </w:pPr>
      <w:r>
        <w:rPr>
          <w:rFonts w:hint="eastAsia" w:ascii="宋体" w:hAnsi="宋体" w:eastAsia="宋体" w:cs="宋体"/>
          <w:color w:val="000000"/>
          <w:lang w:eastAsia="zh-CN"/>
        </w:rPr>
        <w:t>（二）</w:t>
      </w:r>
      <w:r>
        <w:rPr>
          <w:rFonts w:ascii="宋体" w:hAnsi="宋体" w:eastAsia="宋体" w:cs="宋体"/>
          <w:color w:val="000000"/>
        </w:rPr>
        <w:t>《园林设计》专业教学周数分配表</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bl>
      <w:tblPr>
        <w:tblStyle w:val="4"/>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350"/>
        <w:gridCol w:w="350"/>
        <w:gridCol w:w="936"/>
        <w:gridCol w:w="643"/>
        <w:gridCol w:w="509"/>
        <w:gridCol w:w="721"/>
        <w:gridCol w:w="2697"/>
        <w:gridCol w:w="936"/>
        <w:gridCol w:w="643"/>
        <w:gridCol w:w="350"/>
        <w:gridCol w:w="350"/>
        <w:gridCol w:w="35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年</w:t>
            </w:r>
          </w:p>
        </w:tc>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期</w:t>
            </w:r>
          </w:p>
        </w:tc>
        <w:tc>
          <w:tcPr>
            <w:tcW w:w="0" w:type="auto"/>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集中教育</w:t>
            </w:r>
          </w:p>
        </w:tc>
        <w:tc>
          <w:tcPr>
            <w:tcW w:w="0" w:type="auto"/>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理论教学</w:t>
            </w:r>
          </w:p>
        </w:tc>
        <w:tc>
          <w:tcPr>
            <w:tcW w:w="0" w:type="auto"/>
            <w:gridSpan w:val="3"/>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实践教学</w:t>
            </w:r>
          </w:p>
        </w:tc>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机</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动</w:t>
            </w:r>
          </w:p>
        </w:tc>
        <w:tc>
          <w:tcPr>
            <w:tcW w:w="350"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寒</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暑</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假</w:t>
            </w:r>
          </w:p>
        </w:tc>
        <w:tc>
          <w:tcPr>
            <w:tcW w:w="350"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合</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计</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入学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(毕业)</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教育</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军事</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训练</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理</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论</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考</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试</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教学实习、技术训练</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毕业</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实习</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(设计)</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考核</w:t>
            </w:r>
          </w:p>
        </w:tc>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50"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50"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一</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一</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0.5</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1</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16</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0.5</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tabs>
                <w:tab w:val="left" w:pos="384"/>
              </w:tabs>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350"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350"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二</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0" w:type="auto"/>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350"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50"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15</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eastAsia="zh-CN"/>
        </w:rPr>
        <w:t>（</w:t>
      </w:r>
      <w:r>
        <w:rPr>
          <w:rFonts w:ascii="宋体" w:hAnsi="宋体" w:eastAsia="宋体" w:cs="宋体"/>
          <w:color w:val="000000"/>
        </w:rPr>
        <w:t>四</w:t>
      </w:r>
      <w:r>
        <w:rPr>
          <w:rFonts w:hint="eastAsia" w:ascii="宋体" w:hAnsi="宋体" w:eastAsia="宋体" w:cs="宋体"/>
          <w:color w:val="000000"/>
          <w:lang w:eastAsia="zh-CN"/>
        </w:rPr>
        <w:t>）</w:t>
      </w:r>
      <w:r>
        <w:rPr>
          <w:rFonts w:ascii="宋体" w:hAnsi="宋体" w:eastAsia="宋体" w:cs="宋体"/>
          <w:color w:val="000000"/>
        </w:rPr>
        <w:t>教学学时分配表</w:t>
      </w:r>
    </w:p>
    <w:tbl>
      <w:tblPr>
        <w:tblStyle w:val="4"/>
        <w:tblW w:w="7890"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2378"/>
        <w:gridCol w:w="3038"/>
        <w:gridCol w:w="921"/>
        <w:gridCol w:w="921"/>
        <w:gridCol w:w="63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258" w:type="dxa"/>
            <w:gridSpan w:val="4"/>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课程类别</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 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必 修 课</w:t>
            </w:r>
          </w:p>
        </w:tc>
        <w:tc>
          <w:tcPr>
            <w:tcW w:w="303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公 共 基 础 课</w:t>
            </w:r>
          </w:p>
        </w:tc>
        <w:tc>
          <w:tcPr>
            <w:tcW w:w="18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理论课</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816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 践 课</w:t>
            </w: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实验</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社会实践</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18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小 计</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816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专 业 基 础 与专 业 技 术 课</w:t>
            </w:r>
          </w:p>
        </w:tc>
        <w:tc>
          <w:tcPr>
            <w:tcW w:w="18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理论课</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课堂授课</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课堂实践</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生产实习</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921"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顶岗实习</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7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30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18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小 计</w:t>
            </w:r>
          </w:p>
        </w:tc>
        <w:tc>
          <w:tcPr>
            <w:tcW w:w="632"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68</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r>
        <w:rPr>
          <w:rFonts w:ascii="宋体" w:hAnsi="宋体" w:eastAsia="宋体" w:cs="宋体"/>
          <w:color w:val="000000"/>
        </w:rPr>
        <w:t>注：教学机动周、军训、选修学时不参与计算。</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eastAsia="zh-CN"/>
        </w:rPr>
        <w:t>（五）</w:t>
      </w:r>
      <w:r>
        <w:rPr>
          <w:rFonts w:ascii="宋体" w:hAnsi="宋体" w:eastAsia="宋体" w:cs="宋体"/>
          <w:color w:val="000000"/>
        </w:rPr>
        <w:t>必修课程教学时间分配表</w:t>
      </w:r>
    </w:p>
    <w:tbl>
      <w:tblPr>
        <w:tblStyle w:val="4"/>
        <w:tblW w:w="9543"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838"/>
        <w:gridCol w:w="449"/>
        <w:gridCol w:w="2866"/>
        <w:gridCol w:w="476"/>
        <w:gridCol w:w="529"/>
        <w:gridCol w:w="150"/>
        <w:gridCol w:w="499"/>
        <w:gridCol w:w="150"/>
        <w:gridCol w:w="566"/>
        <w:gridCol w:w="150"/>
        <w:gridCol w:w="1280"/>
        <w:gridCol w:w="150"/>
        <w:gridCol w:w="1430"/>
        <w:gridCol w:w="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rHeight w:val="1765" w:hRule="atLeast"/>
          <w:tblCellSpacing w:w="0" w:type="dxa"/>
          <w:jc w:val="center"/>
        </w:trPr>
        <w:tc>
          <w:tcPr>
            <w:tcW w:w="83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课程</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模块</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名称</w:t>
            </w:r>
          </w:p>
        </w:tc>
        <w:tc>
          <w:tcPr>
            <w:tcW w:w="449"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序</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号</w:t>
            </w:r>
          </w:p>
        </w:tc>
        <w:tc>
          <w:tcPr>
            <w:tcW w:w="2866"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课程</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名称</w:t>
            </w:r>
          </w:p>
        </w:tc>
        <w:tc>
          <w:tcPr>
            <w:tcW w:w="476"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时</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数</w:t>
            </w:r>
          </w:p>
        </w:tc>
        <w:tc>
          <w:tcPr>
            <w:tcW w:w="2044" w:type="dxa"/>
            <w:gridSpan w:val="6"/>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课堂教学</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实习、</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技能</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实训</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rHeight w:val="629" w:hRule="atLeast"/>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2866"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76"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合</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计</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讲</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授</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课堂</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实践</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学时数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文化</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基础</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课程</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模块</w:t>
            </w: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心理健康</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val="en-US" w:eastAsia="zh-CN"/>
              </w:rPr>
              <w:t>2</w:t>
            </w:r>
            <w:r>
              <w:rPr>
                <w:rFonts w:ascii="宋体" w:hAnsi="宋体" w:eastAsia="宋体" w:cs="宋体"/>
                <w:color w:val="000000"/>
              </w:rPr>
              <w:t>4</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val="en-US" w:eastAsia="zh-CN"/>
              </w:rPr>
              <w:t>2</w:t>
            </w:r>
            <w:r>
              <w:rPr>
                <w:rFonts w:ascii="宋体" w:hAnsi="宋体" w:eastAsia="宋体" w:cs="宋体"/>
                <w:color w:val="000000"/>
              </w:rPr>
              <w:t>4</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语文</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240</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240</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数学</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英语</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216</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经济政治与社会</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68</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68</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6</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职业素养</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34</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4</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7</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体育与健康</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48</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102</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82</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8</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职业生涯规划</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24</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34</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20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14</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9</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园林植物(综)</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1"/>
          <w:wAfter w:w="10" w:type="dxa"/>
          <w:trHeight w:val="878" w:hRule="atLeast"/>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tabs>
                <w:tab w:val="right" w:pos="3296"/>
              </w:tabs>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eastAsia="zh-CN"/>
              </w:rPr>
            </w:pPr>
            <w:r>
              <w:rPr>
                <w:rFonts w:ascii="宋体" w:hAnsi="宋体" w:eastAsia="宋体" w:cs="宋体"/>
                <w:color w:val="000000"/>
              </w:rPr>
              <w:t>园林植物环境(综)</w:t>
            </w:r>
            <w:r>
              <w:rPr>
                <w:rFonts w:hint="eastAsia" w:ascii="宋体" w:hAnsi="宋体" w:eastAsia="宋体" w:cs="宋体"/>
                <w:color w:val="000000"/>
                <w:lang w:eastAsia="zh-CN"/>
              </w:rPr>
              <w:tab/>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tabs>
                <w:tab w:val="right" w:pos="3296"/>
              </w:tabs>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6</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1430"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gridAfter w:val="2"/>
          <w:wAfter w:w="1440" w:type="dxa"/>
          <w:tblCellSpacing w:w="0" w:type="dxa"/>
          <w:jc w:val="center"/>
        </w:trPr>
        <w:tc>
          <w:tcPr>
            <w:tcW w:w="838" w:type="dxa"/>
            <w:vMerge w:val="restart"/>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通用</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专业</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课程</w:t>
            </w:r>
          </w:p>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模块</w:t>
            </w: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ascii="宋体" w:hAnsi="宋体" w:eastAsia="宋体" w:cs="宋体"/>
                <w:color w:val="000000"/>
              </w:rPr>
              <w:t>1</w:t>
            </w:r>
            <w:r>
              <w:rPr>
                <w:rFonts w:hint="eastAsia" w:ascii="宋体" w:hAnsi="宋体" w:eastAsia="宋体" w:cs="宋体"/>
                <w:color w:val="000000"/>
                <w:lang w:val="en-US" w:eastAsia="zh-CN"/>
              </w:rPr>
              <w:t>1</w:t>
            </w:r>
          </w:p>
        </w:tc>
        <w:tc>
          <w:tcPr>
            <w:tcW w:w="286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园林美术</w:t>
            </w:r>
          </w:p>
        </w:tc>
        <w:tc>
          <w:tcPr>
            <w:tcW w:w="476"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67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ascii="宋体" w:hAnsi="宋体" w:eastAsia="宋体" w:cs="宋体"/>
                <w:color w:val="000000"/>
              </w:rPr>
              <w:t>1</w:t>
            </w:r>
            <w:r>
              <w:rPr>
                <w:rFonts w:hint="eastAsia" w:ascii="宋体" w:hAnsi="宋体" w:eastAsia="宋体" w:cs="宋体"/>
                <w:color w:val="000000"/>
                <w:lang w:val="en-US" w:eastAsia="zh-CN"/>
              </w:rPr>
              <w:t>2</w:t>
            </w:r>
          </w:p>
        </w:tc>
        <w:tc>
          <w:tcPr>
            <w:tcW w:w="33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园林制图(综)</w:t>
            </w:r>
          </w:p>
        </w:tc>
        <w:tc>
          <w:tcPr>
            <w:tcW w:w="52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10</w:t>
            </w:r>
          </w:p>
        </w:tc>
        <w:tc>
          <w:tcPr>
            <w:tcW w:w="1590" w:type="dxa"/>
            <w:gridSpan w:val="3"/>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ascii="宋体" w:hAnsi="宋体" w:eastAsia="宋体" w:cs="宋体"/>
                <w:color w:val="000000"/>
              </w:rPr>
              <w:t>1</w:t>
            </w:r>
            <w:r>
              <w:rPr>
                <w:rFonts w:hint="eastAsia" w:ascii="宋体" w:hAnsi="宋体" w:eastAsia="宋体" w:cs="宋体"/>
                <w:color w:val="000000"/>
                <w:lang w:val="en-US" w:eastAsia="zh-CN"/>
              </w:rPr>
              <w:t>3</w:t>
            </w:r>
          </w:p>
        </w:tc>
        <w:tc>
          <w:tcPr>
            <w:tcW w:w="33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园林测量</w:t>
            </w:r>
          </w:p>
        </w:tc>
        <w:tc>
          <w:tcPr>
            <w:tcW w:w="52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hint="eastAsia" w:ascii="宋体" w:hAnsi="宋体" w:eastAsia="宋体" w:cs="宋体"/>
                <w:color w:val="000000"/>
                <w:lang w:val="en-US" w:eastAsia="zh-CN"/>
              </w:rPr>
              <w:t>20</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20</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20</w:t>
            </w: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20</w:t>
            </w:r>
          </w:p>
        </w:tc>
        <w:tc>
          <w:tcPr>
            <w:tcW w:w="1590" w:type="dxa"/>
            <w:gridSpan w:val="3"/>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38" w:type="dxa"/>
            <w:vMerge w:val="continue"/>
            <w:tcBorders>
              <w:top w:val="inset" w:color="808080" w:sz="6" w:space="0"/>
              <w:left w:val="inset" w:color="808080" w:sz="6" w:space="0"/>
              <w:bottom w:val="inset" w:color="808080" w:sz="6" w:space="0"/>
              <w:right w:val="inset" w:color="808080" w:sz="6" w:space="0"/>
            </w:tcBorders>
            <w:noWrap w:val="0"/>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44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ascii="宋体" w:hAnsi="宋体" w:eastAsia="宋体" w:cs="宋体"/>
                <w:color w:val="000000"/>
              </w:rPr>
              <w:t>1</w:t>
            </w:r>
            <w:r>
              <w:rPr>
                <w:rFonts w:hint="eastAsia" w:ascii="宋体" w:hAnsi="宋体" w:eastAsia="宋体" w:cs="宋体"/>
                <w:color w:val="000000"/>
                <w:lang w:val="en-US" w:eastAsia="zh-CN"/>
              </w:rPr>
              <w:t>4</w:t>
            </w:r>
          </w:p>
        </w:tc>
        <w:tc>
          <w:tcPr>
            <w:tcW w:w="3342"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园林法规</w:t>
            </w:r>
          </w:p>
        </w:tc>
        <w:tc>
          <w:tcPr>
            <w:tcW w:w="529" w:type="dxa"/>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649"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716"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tc>
        <w:tc>
          <w:tcPr>
            <w:tcW w:w="1430" w:type="dxa"/>
            <w:gridSpan w:val="2"/>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c>
          <w:tcPr>
            <w:tcW w:w="1590" w:type="dxa"/>
            <w:gridSpan w:val="3"/>
            <w:tcBorders>
              <w:top w:val="inset" w:color="808080" w:sz="6" w:space="0"/>
              <w:left w:val="inset" w:color="808080" w:sz="6" w:space="0"/>
              <w:bottom w:val="inset" w:color="808080" w:sz="6" w:space="0"/>
              <w:right w:val="inset" w:color="808080" w:sz="6" w:space="0"/>
            </w:tcBorders>
            <w:noWrap w:val="0"/>
            <w:tcMar>
              <w:top w:w="8" w:type="dxa"/>
              <w:left w:w="8" w:type="dxa"/>
              <w:bottom w:w="8" w:type="dxa"/>
              <w:right w:w="8" w:type="dxa"/>
            </w:tcMar>
            <w:vAlign w:val="center"/>
          </w:tcPr>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r>
              <w:rPr>
                <w:rFonts w:ascii="宋体" w:hAnsi="宋体" w:eastAsia="宋体" w:cs="宋体"/>
                <w:color w:val="000000"/>
              </w:rPr>
              <w:t> </w:t>
            </w:r>
          </w:p>
        </w:tc>
      </w:tr>
    </w:tbl>
    <w:p>
      <w:pPr>
        <w:keepNext w:val="0"/>
        <w:keepLines w:val="0"/>
        <w:pageBreakBefore w:val="0"/>
        <w:widowControl/>
        <w:kinsoku/>
        <w:wordWrap/>
        <w:overflowPunct/>
        <w:topLinePunct w:val="0"/>
        <w:autoSpaceDE/>
        <w:autoSpaceDN/>
        <w:bidi w:val="0"/>
        <w:adjustRightInd/>
        <w:snapToGrid/>
        <w:spacing w:before="361" w:beforeLines="100" w:line="360" w:lineRule="auto"/>
        <w:textAlignment w:val="auto"/>
        <w:rPr>
          <w:rFonts w:ascii="宋体" w:hAnsi="宋体" w:eastAsia="宋体" w:cs="宋体"/>
          <w:color w:val="000000"/>
        </w:rPr>
      </w:pPr>
    </w:p>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ZDlmYTJkZWRmNDc3MzI3YzhlMjVkNTRhZTRhZWEifQ=="/>
  </w:docVars>
  <w:rsids>
    <w:rsidRoot w:val="7A646629"/>
    <w:rsid w:val="12AF482F"/>
    <w:rsid w:val="7A64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2024-02-29T01:08:00Z</dcterms:created>
  <dc:creator>美丽高</dc:creator>
  <cp:lastModifiedBy>WPS_382917400</cp:lastModifiedBy>
  <cp:lastPrinted>2024-02-29T03:18:53Z</cp:lastPrinted>
  <dcterms:modified xsi:type="dcterms:W3CDTF">2024-02-29T03:25:06Z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807AA570BFCB4DCC92F7E116D8A3D16B_11</vt:lpwstr>
  </property>
</Properties>
</file>